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A5666" w14:textId="52B7847F" w:rsidR="009D6BEA" w:rsidRPr="00D12AC0" w:rsidRDefault="004F34B7">
      <w:pPr>
        <w:pStyle w:val="BodyText"/>
        <w:ind w:left="1483"/>
        <w:rPr>
          <w:rFonts w:ascii="Times New Roman"/>
          <w:sz w:val="20"/>
          <w:lang w:val="et-EE"/>
        </w:rPr>
      </w:pPr>
      <w:r w:rsidRPr="00D12AC0">
        <w:rPr>
          <w:rFonts w:ascii="Times New Roman"/>
          <w:sz w:val="20"/>
          <w:lang w:val="et-EE"/>
        </w:rPr>
        <w:drawing>
          <wp:inline distT="0" distB="0" distL="0" distR="0" wp14:anchorId="539A5694" wp14:editId="539A5695">
            <wp:extent cx="3891846" cy="85496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1846" cy="85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A5667" w14:textId="77777777" w:rsidR="009D6BEA" w:rsidRPr="00D12AC0" w:rsidRDefault="009D6BEA">
      <w:pPr>
        <w:pStyle w:val="BodyText"/>
        <w:spacing w:before="205"/>
        <w:rPr>
          <w:rFonts w:ascii="Times New Roman"/>
          <w:sz w:val="28"/>
          <w:lang w:val="et-EE"/>
        </w:rPr>
      </w:pPr>
    </w:p>
    <w:p w14:paraId="539A5668" w14:textId="07107986" w:rsidR="009D6BEA" w:rsidRPr="00D12AC0" w:rsidRDefault="004F34B7">
      <w:pPr>
        <w:pStyle w:val="Title"/>
        <w:rPr>
          <w:lang w:val="et-EE"/>
        </w:rPr>
      </w:pPr>
      <w:r w:rsidRPr="00D12AC0">
        <w:rPr>
          <w:lang w:val="et-EE"/>
        </w:rPr>
        <w:t>Ajakirjanduse jätkusuutlikkuse kaitsmine: miks tuleb kaupmehe algatatud tehingud</w:t>
      </w:r>
      <w:r w:rsidR="00CD1A58" w:rsidRPr="00D12AC0">
        <w:rPr>
          <w:lang w:val="et-EE"/>
        </w:rPr>
        <w:t xml:space="preserve"> (Merchant-</w:t>
      </w:r>
      <w:proofErr w:type="spellStart"/>
      <w:r w:rsidR="00CD1A58" w:rsidRPr="00D12AC0">
        <w:rPr>
          <w:lang w:val="et-EE"/>
        </w:rPr>
        <w:t>Initiated</w:t>
      </w:r>
      <w:proofErr w:type="spellEnd"/>
      <w:r w:rsidR="00CD1A58" w:rsidRPr="00D12AC0">
        <w:rPr>
          <w:lang w:val="et-EE"/>
        </w:rPr>
        <w:t xml:space="preserve"> </w:t>
      </w:r>
      <w:proofErr w:type="spellStart"/>
      <w:r w:rsidR="00CD1A58" w:rsidRPr="00D12AC0">
        <w:rPr>
          <w:lang w:val="et-EE"/>
        </w:rPr>
        <w:t>Transactions</w:t>
      </w:r>
      <w:proofErr w:type="spellEnd"/>
      <w:r w:rsidR="00CD1A58" w:rsidRPr="00D12AC0">
        <w:rPr>
          <w:lang w:val="et-EE"/>
        </w:rPr>
        <w:t>, MIT)</w:t>
      </w:r>
      <w:r w:rsidRPr="00D12AC0">
        <w:rPr>
          <w:lang w:val="et-EE"/>
        </w:rPr>
        <w:t xml:space="preserve"> makseteenuste määruse </w:t>
      </w:r>
      <w:r w:rsidR="00BE1034" w:rsidRPr="00D12AC0">
        <w:rPr>
          <w:lang w:val="et-EE"/>
        </w:rPr>
        <w:t>al</w:t>
      </w:r>
      <w:r w:rsidR="008C1F4A">
        <w:rPr>
          <w:lang w:val="et-EE"/>
        </w:rPr>
        <w:t>u</w:t>
      </w:r>
      <w:r w:rsidR="00BE1034" w:rsidRPr="00D12AC0">
        <w:rPr>
          <w:lang w:val="et-EE"/>
        </w:rPr>
        <w:t xml:space="preserve">sel </w:t>
      </w:r>
      <w:r w:rsidRPr="00D12AC0">
        <w:rPr>
          <w:lang w:val="et-EE"/>
        </w:rPr>
        <w:t>tingimusteta tagasimakseõigusest välja jätta?</w:t>
      </w:r>
    </w:p>
    <w:p w14:paraId="539A5669" w14:textId="77777777" w:rsidR="009D6BEA" w:rsidRPr="00D12AC0" w:rsidRDefault="004F34B7">
      <w:pPr>
        <w:spacing w:before="284"/>
        <w:ind w:left="23"/>
        <w:rPr>
          <w:i/>
          <w:sz w:val="21"/>
          <w:lang w:val="et-EE"/>
        </w:rPr>
      </w:pPr>
      <w:r w:rsidRPr="00D12AC0">
        <w:rPr>
          <w:b/>
          <w:sz w:val="21"/>
          <w:lang w:val="et-EE"/>
        </w:rPr>
        <w:t>Seisukoht kolmepoolseteks läbirääkimisteks</w:t>
      </w:r>
      <w:r w:rsidRPr="00D12AC0">
        <w:rPr>
          <w:i/>
          <w:sz w:val="21"/>
          <w:lang w:val="et-EE"/>
        </w:rPr>
        <w:t>, september 2025</w:t>
      </w:r>
    </w:p>
    <w:p w14:paraId="539A566A" w14:textId="77777777" w:rsidR="009D6BEA" w:rsidRPr="00D12AC0" w:rsidRDefault="009D6BEA">
      <w:pPr>
        <w:pStyle w:val="BodyText"/>
        <w:spacing w:before="25"/>
        <w:rPr>
          <w:i/>
          <w:lang w:val="et-EE"/>
        </w:rPr>
      </w:pPr>
    </w:p>
    <w:p w14:paraId="539A566B" w14:textId="31875B6A" w:rsidR="009D6BEA" w:rsidRPr="00D12AC0" w:rsidRDefault="004F34B7">
      <w:pPr>
        <w:pStyle w:val="Heading1"/>
        <w:ind w:left="23" w:firstLine="0"/>
        <w:rPr>
          <w:lang w:val="et-EE"/>
        </w:rPr>
      </w:pPr>
      <w:r w:rsidRPr="00D12AC0">
        <w:rPr>
          <w:lang w:val="et-EE"/>
        </w:rPr>
        <w:t>Kokkuvõte</w:t>
      </w:r>
    </w:p>
    <w:p w14:paraId="539A566C" w14:textId="52233124" w:rsidR="009D6BEA" w:rsidRPr="00D12AC0" w:rsidRDefault="004F34B7">
      <w:pPr>
        <w:pStyle w:val="BodyText"/>
        <w:spacing w:before="276"/>
        <w:ind w:left="23" w:right="9"/>
        <w:jc w:val="both"/>
        <w:rPr>
          <w:lang w:val="et-EE"/>
        </w:rPr>
      </w:pPr>
      <w:r w:rsidRPr="00D12AC0">
        <w:rPr>
          <w:lang w:val="et-EE"/>
        </w:rPr>
        <w:t xml:space="preserve">Makseteenuste määruse artikli 62 lõike 1 ja artikli 63 kohase tingimusteta kaheksanädalase tagasimakseõiguse </w:t>
      </w:r>
      <w:r w:rsidR="00757014" w:rsidRPr="00D12AC0">
        <w:rPr>
          <w:lang w:val="et-EE"/>
        </w:rPr>
        <w:t>laiendamine</w:t>
      </w:r>
      <w:r w:rsidRPr="00D12AC0">
        <w:rPr>
          <w:lang w:val="et-EE"/>
        </w:rPr>
        <w:t xml:space="preserve"> kaupleja algatatud tehingutele kujutab endast eksistentsiaalset ohtu Euroopa </w:t>
      </w:r>
      <w:r w:rsidR="0028471B" w:rsidRPr="00D12AC0">
        <w:rPr>
          <w:lang w:val="et-EE"/>
        </w:rPr>
        <w:t>trüki- ja digia</w:t>
      </w:r>
      <w:r w:rsidRPr="00D12AC0">
        <w:rPr>
          <w:lang w:val="et-EE"/>
        </w:rPr>
        <w:t xml:space="preserve">jakirjanduse jätkusuutlikkusele. Nõuame tungivalt, et läbirääkijad võtaksid </w:t>
      </w:r>
      <w:r w:rsidR="00E758BF" w:rsidRPr="00D12AC0">
        <w:rPr>
          <w:lang w:val="et-EE"/>
        </w:rPr>
        <w:t>omaks</w:t>
      </w:r>
      <w:r w:rsidRPr="00D12AC0">
        <w:rPr>
          <w:lang w:val="et-EE"/>
        </w:rPr>
        <w:t xml:space="preserve"> Euroopa Parlamendi seisukoha ja jätaksid MIT-d sellest sättest välja.</w:t>
      </w:r>
    </w:p>
    <w:p w14:paraId="539A566D" w14:textId="77777777" w:rsidR="009D6BEA" w:rsidRPr="00D12AC0" w:rsidRDefault="009D6BEA">
      <w:pPr>
        <w:pStyle w:val="BodyText"/>
        <w:spacing w:before="27"/>
        <w:rPr>
          <w:lang w:val="et-EE"/>
        </w:rPr>
      </w:pPr>
    </w:p>
    <w:p w14:paraId="539A566E" w14:textId="77777777" w:rsidR="009D6BEA" w:rsidRPr="00D12AC0" w:rsidRDefault="004F34B7">
      <w:pPr>
        <w:pStyle w:val="Heading1"/>
        <w:ind w:left="23" w:firstLine="0"/>
        <w:rPr>
          <w:lang w:val="et-EE"/>
        </w:rPr>
      </w:pPr>
      <w:r w:rsidRPr="00D12AC0">
        <w:rPr>
          <w:spacing w:val="-2"/>
          <w:lang w:val="et-EE"/>
        </w:rPr>
        <w:t>Taust</w:t>
      </w:r>
    </w:p>
    <w:p w14:paraId="539A566F" w14:textId="77777777" w:rsidR="009D6BEA" w:rsidRPr="00D12AC0" w:rsidRDefault="004F34B7">
      <w:pPr>
        <w:pStyle w:val="BodyText"/>
        <w:spacing w:before="277"/>
        <w:ind w:left="23" w:right="5"/>
        <w:jc w:val="both"/>
        <w:rPr>
          <w:lang w:val="et-EE"/>
        </w:rPr>
      </w:pPr>
      <w:r w:rsidRPr="00D12AC0">
        <w:rPr>
          <w:lang w:val="et-EE"/>
        </w:rPr>
        <w:t xml:space="preserve">Euroopa Komisjoni ettepanek laiendada tingimusteta tagasimakseõigusi, mis praegu piirduvad otsekorraldustega, kõigile kaupmehe algatatud tehingutele kujutab endast põhimõttelist muutust, mis hõlmaks liitumismakseid krediitkaartide, </w:t>
      </w:r>
      <w:proofErr w:type="spellStart"/>
      <w:r w:rsidRPr="00D12AC0">
        <w:rPr>
          <w:lang w:val="et-EE"/>
        </w:rPr>
        <w:t>PayPal'i</w:t>
      </w:r>
      <w:proofErr w:type="spellEnd"/>
      <w:r w:rsidRPr="00D12AC0">
        <w:rPr>
          <w:lang w:val="et-EE"/>
        </w:rPr>
        <w:t xml:space="preserve"> ja sarnaste teenuste kaudu, mis moodustavad kaasaegse ajakirjanduse rahastamise selgroo.</w:t>
      </w:r>
    </w:p>
    <w:p w14:paraId="539A5670" w14:textId="77777777" w:rsidR="009D6BEA" w:rsidRPr="00D12AC0" w:rsidRDefault="009D6BEA">
      <w:pPr>
        <w:pStyle w:val="BodyText"/>
        <w:spacing w:before="21"/>
        <w:rPr>
          <w:lang w:val="et-EE"/>
        </w:rPr>
      </w:pPr>
    </w:p>
    <w:p w14:paraId="539A5671" w14:textId="299494EA" w:rsidR="009D6BEA" w:rsidRPr="00D12AC0" w:rsidRDefault="004F34B7">
      <w:pPr>
        <w:pStyle w:val="BodyText"/>
        <w:ind w:left="23" w:right="9"/>
        <w:jc w:val="both"/>
        <w:rPr>
          <w:lang w:val="et-EE"/>
        </w:rPr>
      </w:pPr>
      <w:r w:rsidRPr="00D12AC0">
        <w:rPr>
          <w:lang w:val="et-EE"/>
        </w:rPr>
        <w:t xml:space="preserve">Kuigi Euroopa Parlament  lükkas oma 2024. aasta aprilli raportis selle </w:t>
      </w:r>
      <w:r w:rsidR="00365AF2" w:rsidRPr="00D12AC0">
        <w:rPr>
          <w:lang w:val="et-EE"/>
        </w:rPr>
        <w:t>laie</w:t>
      </w:r>
      <w:r w:rsidRPr="00D12AC0">
        <w:rPr>
          <w:lang w:val="et-EE"/>
        </w:rPr>
        <w:t xml:space="preserve">ndamise sõnaselgelt tagasi, jäi nõukogu oma üldises seisukohas komisjoni lähenemisviisi juurde. Eelseisvad kolmepoolsed läbirääkimised annavad olulise võimaluse vältida </w:t>
      </w:r>
      <w:r w:rsidR="00EB402C" w:rsidRPr="00D12AC0">
        <w:rPr>
          <w:lang w:val="et-EE"/>
        </w:rPr>
        <w:t>seadusloomet</w:t>
      </w:r>
      <w:r w:rsidRPr="00D12AC0">
        <w:rPr>
          <w:lang w:val="et-EE"/>
        </w:rPr>
        <w:t xml:space="preserve">, mis kahjustaks Euroopa </w:t>
      </w:r>
      <w:r w:rsidR="003A6E76" w:rsidRPr="00D12AC0">
        <w:rPr>
          <w:lang w:val="et-EE"/>
        </w:rPr>
        <w:t>uudis</w:t>
      </w:r>
      <w:r w:rsidRPr="00D12AC0">
        <w:rPr>
          <w:lang w:val="et-EE"/>
        </w:rPr>
        <w:t>meedia rahalist jätkusuutlikkust.</w:t>
      </w:r>
    </w:p>
    <w:p w14:paraId="539A5672" w14:textId="77777777" w:rsidR="009D6BEA" w:rsidRPr="00D12AC0" w:rsidRDefault="009D6BEA">
      <w:pPr>
        <w:pStyle w:val="BodyText"/>
        <w:spacing w:before="36"/>
        <w:rPr>
          <w:lang w:val="et-EE"/>
        </w:rPr>
      </w:pPr>
    </w:p>
    <w:p w14:paraId="539A5673" w14:textId="06CEAB43" w:rsidR="009D6BEA" w:rsidRPr="00D12AC0" w:rsidRDefault="004F34B7">
      <w:pPr>
        <w:pStyle w:val="Heading1"/>
        <w:numPr>
          <w:ilvl w:val="0"/>
          <w:numId w:val="1"/>
        </w:numPr>
        <w:tabs>
          <w:tab w:val="left" w:pos="262"/>
        </w:tabs>
        <w:spacing w:before="1"/>
        <w:ind w:left="262" w:hanging="239"/>
        <w:rPr>
          <w:lang w:val="et-EE"/>
        </w:rPr>
      </w:pPr>
      <w:r w:rsidRPr="00D12AC0">
        <w:rPr>
          <w:lang w:val="et-EE"/>
        </w:rPr>
        <w:t xml:space="preserve">Tellimismudelite kriitiline roll </w:t>
      </w:r>
      <w:r w:rsidR="00A736DE" w:rsidRPr="00D12AC0">
        <w:rPr>
          <w:lang w:val="et-EE"/>
        </w:rPr>
        <w:t>uudis</w:t>
      </w:r>
      <w:r w:rsidRPr="00D12AC0">
        <w:rPr>
          <w:lang w:val="et-EE"/>
        </w:rPr>
        <w:t>meedia rahastamisel</w:t>
      </w:r>
    </w:p>
    <w:p w14:paraId="539A5674" w14:textId="53DB5838" w:rsidR="009D6BEA" w:rsidRPr="00D12AC0" w:rsidRDefault="004F34B7">
      <w:pPr>
        <w:pStyle w:val="BodyText"/>
        <w:spacing w:before="275"/>
        <w:ind w:left="23" w:right="1"/>
        <w:jc w:val="both"/>
        <w:rPr>
          <w:lang w:val="et-EE"/>
        </w:rPr>
      </w:pPr>
      <w:r w:rsidRPr="00D12AC0">
        <w:rPr>
          <w:lang w:val="et-EE"/>
        </w:rPr>
        <w:t xml:space="preserve">Euroopa </w:t>
      </w:r>
      <w:r w:rsidR="00F83AA5" w:rsidRPr="00D12AC0">
        <w:rPr>
          <w:lang w:val="et-EE"/>
        </w:rPr>
        <w:t xml:space="preserve">uudismeedia väljaandjad </w:t>
      </w:r>
      <w:r w:rsidRPr="00D12AC0">
        <w:rPr>
          <w:lang w:val="et-EE"/>
        </w:rPr>
        <w:t>tuginevad toimetuse sõltumatuse säilitamiseks ja ülemaailmsete tehnoloogiaplatvormidega konkureerimiseks üha enam digitaalsetele tellimismudelitele. Need mudelid hõlmavad tavaliselt korduvaid väikese väärtusega makseid MIT-de kaudu tarbija selgesõnalisel nõusolekul digitaalse sisu edastamise eest, mis tarbitakse kohe pärast juurdepääsu</w:t>
      </w:r>
      <w:r w:rsidR="00AD0A35" w:rsidRPr="00D12AC0">
        <w:rPr>
          <w:lang w:val="et-EE"/>
        </w:rPr>
        <w:t xml:space="preserve"> saamist</w:t>
      </w:r>
      <w:r w:rsidRPr="00D12AC0">
        <w:rPr>
          <w:lang w:val="et-EE"/>
        </w:rPr>
        <w:t>, ning paindlikke ja kasutajasõbralikke makseprotsesse, mis soodustavad demokraatlikku osalemist ajakirjanduse tarbimises.</w:t>
      </w:r>
    </w:p>
    <w:p w14:paraId="539A5675" w14:textId="77777777" w:rsidR="009D6BEA" w:rsidRPr="00D12AC0" w:rsidRDefault="009D6BEA">
      <w:pPr>
        <w:pStyle w:val="BodyText"/>
        <w:spacing w:before="23"/>
        <w:rPr>
          <w:lang w:val="et-EE"/>
        </w:rPr>
      </w:pPr>
    </w:p>
    <w:p w14:paraId="539A5676" w14:textId="2EB88AFD" w:rsidR="009D6BEA" w:rsidRPr="00D12AC0" w:rsidRDefault="004F34B7">
      <w:pPr>
        <w:pStyle w:val="BodyText"/>
        <w:ind w:left="23" w:right="3"/>
        <w:jc w:val="both"/>
        <w:rPr>
          <w:lang w:val="et-EE"/>
        </w:rPr>
      </w:pPr>
      <w:r w:rsidRPr="00D12AC0">
        <w:rPr>
          <w:lang w:val="et-EE"/>
        </w:rPr>
        <w:t>Kavandatav tingimusteta tagasimakseõigus võimaldaks tarbijatel nõuda tagasimakset kuni kaheksa nädalat pärast mak</w:t>
      </w:r>
      <w:r w:rsidR="0094682C" w:rsidRPr="00D12AC0">
        <w:rPr>
          <w:lang w:val="et-EE"/>
        </w:rPr>
        <w:t>se sooritamist</w:t>
      </w:r>
      <w:r w:rsidRPr="00D12AC0">
        <w:rPr>
          <w:lang w:val="et-EE"/>
        </w:rPr>
        <w:t xml:space="preserve"> – isegi </w:t>
      </w:r>
      <w:r w:rsidR="00E94AF8" w:rsidRPr="00D12AC0">
        <w:rPr>
          <w:lang w:val="et-EE"/>
        </w:rPr>
        <w:t xml:space="preserve">siis, kui nad on seda </w:t>
      </w:r>
      <w:r w:rsidRPr="00D12AC0">
        <w:rPr>
          <w:lang w:val="et-EE"/>
        </w:rPr>
        <w:t xml:space="preserve">digitaalse sisu </w:t>
      </w:r>
      <w:r w:rsidR="00E94AF8" w:rsidRPr="00D12AC0">
        <w:rPr>
          <w:lang w:val="et-EE"/>
        </w:rPr>
        <w:t>kogu aeg tarbinud</w:t>
      </w:r>
      <w:r w:rsidRPr="00D12AC0">
        <w:rPr>
          <w:lang w:val="et-EE"/>
        </w:rPr>
        <w:t xml:space="preserve">. See </w:t>
      </w:r>
      <w:r w:rsidR="002D6E09" w:rsidRPr="00D12AC0">
        <w:rPr>
          <w:lang w:val="et-EE"/>
        </w:rPr>
        <w:t>ei s</w:t>
      </w:r>
      <w:r w:rsidR="00B1580D" w:rsidRPr="00D12AC0">
        <w:rPr>
          <w:lang w:val="et-EE"/>
        </w:rPr>
        <w:t>obi loomult kokku uudis</w:t>
      </w:r>
      <w:r w:rsidRPr="00D12AC0">
        <w:rPr>
          <w:lang w:val="et-EE"/>
        </w:rPr>
        <w:t>meedia teenuste olemusega. Lisaks võib se</w:t>
      </w:r>
      <w:r w:rsidR="00675768" w:rsidRPr="00D12AC0">
        <w:rPr>
          <w:lang w:val="et-EE"/>
        </w:rPr>
        <w:t>e</w:t>
      </w:r>
      <w:r w:rsidRPr="00D12AC0">
        <w:rPr>
          <w:lang w:val="et-EE"/>
        </w:rPr>
        <w:t xml:space="preserve"> motiveerida pahauskseid tarbijaid taotlema tagasimakseid juba tarbitud digitaalsete kaupade või teenuste eest, </w:t>
      </w:r>
      <w:r w:rsidR="009E5705" w:rsidRPr="00D12AC0">
        <w:rPr>
          <w:lang w:val="et-EE"/>
        </w:rPr>
        <w:t xml:space="preserve">ja võimaldada </w:t>
      </w:r>
      <w:r w:rsidR="007A05B3" w:rsidRPr="00D12AC0">
        <w:rPr>
          <w:lang w:val="et-EE"/>
        </w:rPr>
        <w:t xml:space="preserve">seaduse </w:t>
      </w:r>
      <w:r w:rsidRPr="00D12AC0">
        <w:rPr>
          <w:lang w:val="et-EE"/>
        </w:rPr>
        <w:t>süstemaatilis</w:t>
      </w:r>
      <w:r w:rsidR="007A05B3" w:rsidRPr="00D12AC0">
        <w:rPr>
          <w:lang w:val="et-EE"/>
        </w:rPr>
        <w:t>t</w:t>
      </w:r>
      <w:r w:rsidRPr="00D12AC0">
        <w:rPr>
          <w:lang w:val="et-EE"/>
        </w:rPr>
        <w:t xml:space="preserve"> kuritarvitamis</w:t>
      </w:r>
      <w:r w:rsidR="007A05B3" w:rsidRPr="00D12AC0">
        <w:rPr>
          <w:lang w:val="et-EE"/>
        </w:rPr>
        <w:t>t</w:t>
      </w:r>
      <w:r w:rsidRPr="00D12AC0">
        <w:rPr>
          <w:lang w:val="et-EE"/>
        </w:rPr>
        <w:t>, mis on eriti problemaatiline, kuna tarbitud digitaalset sisu ei saa "tagastada".</w:t>
      </w:r>
    </w:p>
    <w:p w14:paraId="539A5677" w14:textId="77777777" w:rsidR="009D6BEA" w:rsidRPr="00D12AC0" w:rsidRDefault="009D6BEA">
      <w:pPr>
        <w:pStyle w:val="BodyText"/>
        <w:spacing w:before="28"/>
        <w:rPr>
          <w:lang w:val="et-EE"/>
        </w:rPr>
      </w:pPr>
    </w:p>
    <w:p w14:paraId="539A5678" w14:textId="77777777" w:rsidR="009D6BEA" w:rsidRPr="00D12AC0" w:rsidRDefault="004F34B7">
      <w:pPr>
        <w:pStyle w:val="Heading1"/>
        <w:numPr>
          <w:ilvl w:val="0"/>
          <w:numId w:val="1"/>
        </w:numPr>
        <w:tabs>
          <w:tab w:val="left" w:pos="262"/>
        </w:tabs>
        <w:spacing w:before="1"/>
        <w:ind w:left="262" w:hanging="239"/>
        <w:rPr>
          <w:lang w:val="et-EE"/>
        </w:rPr>
      </w:pPr>
      <w:r w:rsidRPr="00D12AC0">
        <w:rPr>
          <w:lang w:val="et-EE"/>
        </w:rPr>
        <w:t>Mõju tegevusele ja tarbijatele</w:t>
      </w:r>
    </w:p>
    <w:p w14:paraId="539A5679" w14:textId="6AFDA4CB" w:rsidR="009D6BEA" w:rsidRPr="00D12AC0" w:rsidRDefault="004F34B7">
      <w:pPr>
        <w:pStyle w:val="BodyText"/>
        <w:spacing w:before="275"/>
        <w:ind w:left="23" w:right="3"/>
        <w:jc w:val="both"/>
        <w:rPr>
          <w:lang w:val="et-EE"/>
        </w:rPr>
      </w:pPr>
      <w:r w:rsidRPr="00D12AC0">
        <w:rPr>
          <w:lang w:val="et-EE"/>
        </w:rPr>
        <w:t xml:space="preserve">Kavandatav </w:t>
      </w:r>
      <w:r w:rsidR="00A76E1E" w:rsidRPr="00D12AC0">
        <w:rPr>
          <w:lang w:val="et-EE"/>
        </w:rPr>
        <w:t>muudatus</w:t>
      </w:r>
      <w:r w:rsidRPr="00D12AC0">
        <w:rPr>
          <w:lang w:val="et-EE"/>
        </w:rPr>
        <w:t xml:space="preserve"> sunniks </w:t>
      </w:r>
      <w:r w:rsidR="00995520" w:rsidRPr="00D12AC0">
        <w:rPr>
          <w:lang w:val="et-EE"/>
        </w:rPr>
        <w:t>uudis</w:t>
      </w:r>
      <w:r w:rsidRPr="00D12AC0">
        <w:rPr>
          <w:lang w:val="et-EE"/>
        </w:rPr>
        <w:t xml:space="preserve">kirjastajaid rakendama kaitsemeetmeid, mis on vastuolus komisjoni enda lihtsustamiseesmärkidega. See tekitaks </w:t>
      </w:r>
      <w:r w:rsidR="00F2478A" w:rsidRPr="00D12AC0">
        <w:rPr>
          <w:lang w:val="et-EE"/>
        </w:rPr>
        <w:t>ettevõ</w:t>
      </w:r>
      <w:r w:rsidR="007A1250" w:rsidRPr="00D12AC0">
        <w:rPr>
          <w:lang w:val="et-EE"/>
        </w:rPr>
        <w:t>tetele ka olulisi probleeme nende tegevuses</w:t>
      </w:r>
      <w:r w:rsidRPr="00D12AC0">
        <w:rPr>
          <w:lang w:val="et-EE"/>
        </w:rPr>
        <w:t>, näiteks:</w:t>
      </w:r>
    </w:p>
    <w:p w14:paraId="539A567A" w14:textId="77777777" w:rsidR="009D6BEA" w:rsidRPr="00D12AC0" w:rsidRDefault="004F34B7">
      <w:pPr>
        <w:pStyle w:val="ListParagraph"/>
        <w:numPr>
          <w:ilvl w:val="1"/>
          <w:numId w:val="1"/>
        </w:numPr>
        <w:tabs>
          <w:tab w:val="left" w:pos="744"/>
        </w:tabs>
        <w:spacing w:before="9" w:line="267" w:lineRule="exact"/>
        <w:rPr>
          <w:sz w:val="21"/>
          <w:lang w:val="et-EE"/>
        </w:rPr>
      </w:pPr>
      <w:r w:rsidRPr="00D12AC0">
        <w:rPr>
          <w:sz w:val="21"/>
          <w:lang w:val="et-EE"/>
        </w:rPr>
        <w:t>keerukad registreerimisprotsessid finantsriskide maandamiseks,</w:t>
      </w:r>
    </w:p>
    <w:p w14:paraId="539A567B" w14:textId="7B10873F" w:rsidR="009D6BEA" w:rsidRPr="00D12AC0" w:rsidRDefault="004F34B7">
      <w:pPr>
        <w:pStyle w:val="ListParagraph"/>
        <w:numPr>
          <w:ilvl w:val="1"/>
          <w:numId w:val="1"/>
        </w:numPr>
        <w:tabs>
          <w:tab w:val="left" w:pos="744"/>
        </w:tabs>
        <w:spacing w:line="267" w:lineRule="exact"/>
        <w:rPr>
          <w:sz w:val="21"/>
          <w:lang w:val="et-EE"/>
        </w:rPr>
      </w:pPr>
      <w:r w:rsidRPr="00D12AC0">
        <w:rPr>
          <w:sz w:val="21"/>
          <w:lang w:val="et-EE"/>
        </w:rPr>
        <w:t>lühendatud arveldustsük</w:t>
      </w:r>
      <w:r w:rsidR="00126E44" w:rsidRPr="00D12AC0">
        <w:rPr>
          <w:sz w:val="21"/>
          <w:lang w:val="et-EE"/>
        </w:rPr>
        <w:t>kel</w:t>
      </w:r>
      <w:r w:rsidRPr="00D12AC0">
        <w:rPr>
          <w:sz w:val="21"/>
          <w:lang w:val="et-EE"/>
        </w:rPr>
        <w:t>, mis vähendavad tegevuse tõhusust, ja</w:t>
      </w:r>
    </w:p>
    <w:p w14:paraId="539A567C" w14:textId="77777777" w:rsidR="009D6BEA" w:rsidRPr="00D12AC0" w:rsidRDefault="009D6BEA">
      <w:pPr>
        <w:pStyle w:val="ListParagraph"/>
        <w:spacing w:line="267" w:lineRule="exact"/>
        <w:rPr>
          <w:sz w:val="21"/>
          <w:lang w:val="et-EE"/>
        </w:rPr>
        <w:sectPr w:rsidR="009D6BEA" w:rsidRPr="00D12AC0">
          <w:type w:val="continuous"/>
          <w:pgSz w:w="11910" w:h="16840"/>
          <w:pgMar w:top="700" w:right="1417" w:bottom="280" w:left="1417" w:header="720" w:footer="720" w:gutter="0"/>
          <w:cols w:space="720"/>
        </w:sectPr>
      </w:pPr>
    </w:p>
    <w:p w14:paraId="539A567D" w14:textId="65142514" w:rsidR="009D6BEA" w:rsidRPr="00D12AC0" w:rsidRDefault="004F34B7">
      <w:pPr>
        <w:pStyle w:val="ListParagraph"/>
        <w:numPr>
          <w:ilvl w:val="1"/>
          <w:numId w:val="1"/>
        </w:numPr>
        <w:tabs>
          <w:tab w:val="left" w:pos="744"/>
        </w:tabs>
        <w:spacing w:before="96" w:line="232" w:lineRule="auto"/>
        <w:ind w:right="9"/>
        <w:rPr>
          <w:sz w:val="21"/>
          <w:lang w:val="et-EE"/>
        </w:rPr>
      </w:pPr>
      <w:r w:rsidRPr="00D12AC0">
        <w:rPr>
          <w:sz w:val="21"/>
          <w:lang w:val="et-EE"/>
        </w:rPr>
        <w:lastRenderedPageBreak/>
        <w:t>täiendavad halduskulud tagasimaksete menetlemisel, mis ulatuvad sageli kahekohalise summani</w:t>
      </w:r>
      <w:r w:rsidR="00E124CC" w:rsidRPr="00D12AC0">
        <w:rPr>
          <w:sz w:val="21"/>
          <w:lang w:val="et-EE"/>
        </w:rPr>
        <w:t xml:space="preserve"> Eurodes</w:t>
      </w:r>
      <w:r w:rsidRPr="00D12AC0">
        <w:rPr>
          <w:sz w:val="21"/>
          <w:lang w:val="et-EE"/>
        </w:rPr>
        <w:t xml:space="preserve"> juhtumi kohta.</w:t>
      </w:r>
    </w:p>
    <w:p w14:paraId="539A567E" w14:textId="77777777" w:rsidR="009D6BEA" w:rsidRPr="00D12AC0" w:rsidRDefault="009D6BEA">
      <w:pPr>
        <w:pStyle w:val="BodyText"/>
        <w:spacing w:before="29"/>
        <w:rPr>
          <w:lang w:val="et-EE"/>
        </w:rPr>
      </w:pPr>
    </w:p>
    <w:p w14:paraId="539A567F" w14:textId="1020CA44" w:rsidR="009D6BEA" w:rsidRPr="00D12AC0" w:rsidRDefault="00156F22">
      <w:pPr>
        <w:pStyle w:val="BodyText"/>
        <w:ind w:left="23" w:right="5"/>
        <w:jc w:val="both"/>
        <w:rPr>
          <w:lang w:val="et-EE"/>
        </w:rPr>
      </w:pPr>
      <w:r w:rsidRPr="00D12AC0">
        <w:rPr>
          <w:lang w:val="et-EE"/>
        </w:rPr>
        <w:t>Uudismeedia väljaandjad</w:t>
      </w:r>
      <w:r w:rsidR="004F34B7" w:rsidRPr="00D12AC0">
        <w:rPr>
          <w:lang w:val="et-EE"/>
        </w:rPr>
        <w:t>, eriti väikesed</w:t>
      </w:r>
      <w:r w:rsidRPr="00D12AC0">
        <w:rPr>
          <w:lang w:val="et-EE"/>
        </w:rPr>
        <w:t xml:space="preserve"> kirjastajad</w:t>
      </w:r>
      <w:r w:rsidR="004F34B7" w:rsidRPr="00D12AC0">
        <w:rPr>
          <w:lang w:val="et-EE"/>
        </w:rPr>
        <w:t xml:space="preserve">, võivad </w:t>
      </w:r>
      <w:r w:rsidR="004F0373" w:rsidRPr="00D12AC0">
        <w:rPr>
          <w:lang w:val="et-EE"/>
        </w:rPr>
        <w:t xml:space="preserve">seista silmitsi üha suureneva </w:t>
      </w:r>
      <w:r w:rsidR="004F34B7" w:rsidRPr="00D12AC0">
        <w:rPr>
          <w:lang w:val="et-EE"/>
        </w:rPr>
        <w:t>tagasimaksete</w:t>
      </w:r>
      <w:r w:rsidR="004F0373" w:rsidRPr="00D12AC0">
        <w:rPr>
          <w:lang w:val="et-EE"/>
        </w:rPr>
        <w:t xml:space="preserve"> hulga ja kasvavate </w:t>
      </w:r>
      <w:r w:rsidR="004F34B7" w:rsidRPr="00D12AC0">
        <w:rPr>
          <w:lang w:val="et-EE"/>
        </w:rPr>
        <w:t xml:space="preserve">halduskuludega, </w:t>
      </w:r>
      <w:r w:rsidR="000C0770" w:rsidRPr="00D12AC0">
        <w:rPr>
          <w:lang w:val="et-EE"/>
        </w:rPr>
        <w:t>sest</w:t>
      </w:r>
      <w:r w:rsidR="004F34B7" w:rsidRPr="00D12AC0">
        <w:rPr>
          <w:lang w:val="et-EE"/>
        </w:rPr>
        <w:t xml:space="preserve"> nad peavad </w:t>
      </w:r>
      <w:r w:rsidR="000C0770" w:rsidRPr="00D12AC0">
        <w:rPr>
          <w:lang w:val="et-EE"/>
        </w:rPr>
        <w:t xml:space="preserve">lahendama üha suuremat hulka </w:t>
      </w:r>
      <w:r w:rsidR="004F34B7" w:rsidRPr="00D12AC0">
        <w:rPr>
          <w:lang w:val="et-EE"/>
        </w:rPr>
        <w:t>tagasimaksenõu</w:t>
      </w:r>
      <w:r w:rsidR="000C0770" w:rsidRPr="00D12AC0">
        <w:rPr>
          <w:lang w:val="et-EE"/>
        </w:rPr>
        <w:t xml:space="preserve">deid, </w:t>
      </w:r>
      <w:r w:rsidR="004F34B7" w:rsidRPr="00D12AC0">
        <w:rPr>
          <w:lang w:val="et-EE"/>
        </w:rPr>
        <w:t>sealhulgas ebaseaduslik</w:t>
      </w:r>
      <w:r w:rsidR="000C0770" w:rsidRPr="00D12AC0">
        <w:rPr>
          <w:lang w:val="et-EE"/>
        </w:rPr>
        <w:t xml:space="preserve">ke nõudeid, </w:t>
      </w:r>
      <w:r w:rsidR="004F34B7" w:rsidRPr="00D12AC0">
        <w:rPr>
          <w:lang w:val="et-EE"/>
        </w:rPr>
        <w:t>ilma et n</w:t>
      </w:r>
      <w:r w:rsidR="005A0F2A" w:rsidRPr="00D12AC0">
        <w:rPr>
          <w:lang w:val="et-EE"/>
        </w:rPr>
        <w:t xml:space="preserve">ad saaksid neid </w:t>
      </w:r>
      <w:r w:rsidR="004F34B7" w:rsidRPr="00D12AC0">
        <w:rPr>
          <w:lang w:val="et-EE"/>
        </w:rPr>
        <w:t xml:space="preserve">piisavalt vaidlustada. </w:t>
      </w:r>
      <w:r w:rsidR="005A0F2A" w:rsidRPr="00D12AC0">
        <w:rPr>
          <w:lang w:val="et-EE"/>
        </w:rPr>
        <w:t>Uudis</w:t>
      </w:r>
      <w:r w:rsidR="004F34B7" w:rsidRPr="00D12AC0">
        <w:rPr>
          <w:lang w:val="et-EE"/>
        </w:rPr>
        <w:t>meedia ettevõtted seisavad silmitsi ka komplikatsioonidega</w:t>
      </w:r>
      <w:r w:rsidR="0030710E" w:rsidRPr="00D12AC0">
        <w:rPr>
          <w:lang w:val="et-EE"/>
        </w:rPr>
        <w:t>, mis saadavad</w:t>
      </w:r>
      <w:r w:rsidR="004F34B7" w:rsidRPr="00D12AC0">
        <w:rPr>
          <w:lang w:val="et-EE"/>
        </w:rPr>
        <w:t xml:space="preserve"> ergutusprogramm</w:t>
      </w:r>
      <w:r w:rsidR="00DF5FCA" w:rsidRPr="00D12AC0">
        <w:rPr>
          <w:lang w:val="et-EE"/>
        </w:rPr>
        <w:t>e</w:t>
      </w:r>
      <w:r w:rsidR="004F34B7" w:rsidRPr="00D12AC0">
        <w:rPr>
          <w:lang w:val="et-EE"/>
        </w:rPr>
        <w:t xml:space="preserve"> nagu tasuta seadmed, tasuta prooviversioonid, allahindlused pikema tellim</w:t>
      </w:r>
      <w:r w:rsidR="00EB6902" w:rsidRPr="00D12AC0">
        <w:rPr>
          <w:lang w:val="et-EE"/>
        </w:rPr>
        <w:t>usperioodi puhul ning</w:t>
      </w:r>
      <w:r w:rsidR="004F34B7" w:rsidRPr="00D12AC0">
        <w:rPr>
          <w:lang w:val="et-EE"/>
        </w:rPr>
        <w:t xml:space="preserve"> lojaalsuspreemiad, mis on klientide hankimiseks hädavajalikud.</w:t>
      </w:r>
    </w:p>
    <w:p w14:paraId="539A5680" w14:textId="77777777" w:rsidR="009D6BEA" w:rsidRPr="00D12AC0" w:rsidRDefault="009D6BEA">
      <w:pPr>
        <w:pStyle w:val="BodyText"/>
        <w:spacing w:before="22"/>
        <w:rPr>
          <w:lang w:val="et-EE"/>
        </w:rPr>
      </w:pPr>
    </w:p>
    <w:p w14:paraId="539A5681" w14:textId="7B94E0BA" w:rsidR="009D6BEA" w:rsidRPr="00D12AC0" w:rsidRDefault="00991C44">
      <w:pPr>
        <w:pStyle w:val="BodyText"/>
        <w:ind w:left="23" w:right="11"/>
        <w:jc w:val="both"/>
        <w:rPr>
          <w:lang w:val="et-EE"/>
        </w:rPr>
      </w:pPr>
      <w:r w:rsidRPr="00D12AC0">
        <w:rPr>
          <w:lang w:val="et-EE"/>
        </w:rPr>
        <w:t>M</w:t>
      </w:r>
      <w:r w:rsidR="004F34B7" w:rsidRPr="00D12AC0">
        <w:rPr>
          <w:lang w:val="et-EE"/>
        </w:rPr>
        <w:t xml:space="preserve">uudatused mõjutaksid tõsiselt tarbijakogemust, vähendades kohest juurdepääsu sisule, kaotades madala tõkkega sisenemispakkumised, mis demokratiseerivad </w:t>
      </w:r>
      <w:r w:rsidR="00F304DC" w:rsidRPr="00D12AC0">
        <w:rPr>
          <w:lang w:val="et-EE"/>
        </w:rPr>
        <w:t>ligi</w:t>
      </w:r>
      <w:r w:rsidR="00892BDF" w:rsidRPr="00D12AC0">
        <w:rPr>
          <w:lang w:val="et-EE"/>
        </w:rPr>
        <w:t xml:space="preserve">pääsu </w:t>
      </w:r>
      <w:r w:rsidR="004F34B7" w:rsidRPr="00D12AC0">
        <w:rPr>
          <w:lang w:val="et-EE"/>
        </w:rPr>
        <w:t>meedia</w:t>
      </w:r>
      <w:r w:rsidR="00892BDF" w:rsidRPr="00D12AC0">
        <w:rPr>
          <w:lang w:val="et-EE"/>
        </w:rPr>
        <w:t>le</w:t>
      </w:r>
      <w:r w:rsidR="004F34B7" w:rsidRPr="00D12AC0">
        <w:rPr>
          <w:lang w:val="et-EE"/>
        </w:rPr>
        <w:t xml:space="preserve">, ja lükates edasi </w:t>
      </w:r>
      <w:r w:rsidR="00D11081" w:rsidRPr="00D12AC0">
        <w:rPr>
          <w:lang w:val="et-EE"/>
        </w:rPr>
        <w:t>turundus</w:t>
      </w:r>
      <w:r w:rsidR="004F34B7" w:rsidRPr="00D12AC0">
        <w:rPr>
          <w:lang w:val="et-EE"/>
        </w:rPr>
        <w:t>hüvede pakkumisi, õõnestades lõppkokkuvõttes klientide hankimise vahendeid.</w:t>
      </w:r>
    </w:p>
    <w:p w14:paraId="539A5682" w14:textId="77777777" w:rsidR="009D6BEA" w:rsidRPr="00D12AC0" w:rsidRDefault="009D6BEA">
      <w:pPr>
        <w:pStyle w:val="BodyText"/>
        <w:spacing w:before="27"/>
        <w:rPr>
          <w:lang w:val="et-EE"/>
        </w:rPr>
      </w:pPr>
    </w:p>
    <w:p w14:paraId="539A5683" w14:textId="77777777" w:rsidR="009D6BEA" w:rsidRPr="00D12AC0" w:rsidRDefault="004F34B7">
      <w:pPr>
        <w:pStyle w:val="Heading1"/>
        <w:numPr>
          <w:ilvl w:val="0"/>
          <w:numId w:val="1"/>
        </w:numPr>
        <w:tabs>
          <w:tab w:val="left" w:pos="262"/>
        </w:tabs>
        <w:ind w:left="262" w:hanging="239"/>
        <w:rPr>
          <w:lang w:val="et-EE"/>
        </w:rPr>
      </w:pPr>
      <w:r w:rsidRPr="00D12AC0">
        <w:rPr>
          <w:lang w:val="et-EE"/>
        </w:rPr>
        <w:t>Ebaproportsionaalne mõju meedia jätkusuutlikkusele</w:t>
      </w:r>
    </w:p>
    <w:p w14:paraId="539A5684" w14:textId="6098532D" w:rsidR="009D6BEA" w:rsidRPr="00D12AC0" w:rsidRDefault="004F34B7">
      <w:pPr>
        <w:pStyle w:val="BodyText"/>
        <w:spacing w:before="276"/>
        <w:ind w:left="23" w:right="6"/>
        <w:jc w:val="both"/>
        <w:rPr>
          <w:lang w:val="et-EE"/>
        </w:rPr>
      </w:pPr>
      <w:r w:rsidRPr="00D12AC0">
        <w:rPr>
          <w:lang w:val="et-EE"/>
        </w:rPr>
        <w:t xml:space="preserve">Meede ei ole proportsionaalne ega vajalik, arvestades olemasolevat tarbijakaitset. Tarbijatel juba </w:t>
      </w:r>
      <w:r w:rsidR="00BF28DA" w:rsidRPr="00D12AC0">
        <w:rPr>
          <w:lang w:val="et-EE"/>
        </w:rPr>
        <w:t xml:space="preserve">on </w:t>
      </w:r>
      <w:proofErr w:type="spellStart"/>
      <w:r w:rsidRPr="00D12AC0">
        <w:rPr>
          <w:lang w:val="et-EE"/>
        </w:rPr>
        <w:t>kauglepingute</w:t>
      </w:r>
      <w:proofErr w:type="spellEnd"/>
      <w:r w:rsidRPr="00D12AC0">
        <w:rPr>
          <w:lang w:val="et-EE"/>
        </w:rPr>
        <w:t xml:space="preserve"> puhul 14-päevane seadusjärgne taganemisõigus, mida tugevdavad direktiivi 2011/83/EL kohased täiendavad kaitsemeetmed ning selgesõnalise nõusoleku nõue kõigis </w:t>
      </w:r>
      <w:proofErr w:type="spellStart"/>
      <w:r w:rsidRPr="00D12AC0">
        <w:rPr>
          <w:lang w:val="et-EE"/>
        </w:rPr>
        <w:t>MIT-i</w:t>
      </w:r>
      <w:proofErr w:type="spellEnd"/>
      <w:r w:rsidRPr="00D12AC0">
        <w:rPr>
          <w:lang w:val="et-EE"/>
        </w:rPr>
        <w:t xml:space="preserve"> kokkulepetes. Teisest küljest muudab Euroopa </w:t>
      </w:r>
      <w:r w:rsidR="00FC6EF2" w:rsidRPr="00D12AC0">
        <w:rPr>
          <w:lang w:val="et-EE"/>
        </w:rPr>
        <w:t xml:space="preserve">uudismeedia </w:t>
      </w:r>
      <w:r w:rsidRPr="00D12AC0">
        <w:rPr>
          <w:lang w:val="et-EE"/>
        </w:rPr>
        <w:t>rahaline haavatavus selle meetme eriti problemaatiliseks. Sektor seisab silmitsi tohutu survega, sealhulgas traditsiooniliste reklaamitulude vähenemine, tihe konkurents ülemaailmsete digitaalsete platvormide</w:t>
      </w:r>
      <w:r w:rsidR="00A32C93" w:rsidRPr="00D12AC0">
        <w:rPr>
          <w:lang w:val="et-EE"/>
        </w:rPr>
        <w:t>ga</w:t>
      </w:r>
      <w:r w:rsidRPr="00D12AC0">
        <w:rPr>
          <w:lang w:val="et-EE"/>
        </w:rPr>
        <w:t>, tehisintellektil põhineva</w:t>
      </w:r>
      <w:r w:rsidR="005A74AB" w:rsidRPr="00D12AC0">
        <w:rPr>
          <w:lang w:val="et-EE"/>
        </w:rPr>
        <w:t xml:space="preserve">test </w:t>
      </w:r>
      <w:proofErr w:type="spellStart"/>
      <w:r w:rsidR="005A74AB" w:rsidRPr="00D12AC0">
        <w:rPr>
          <w:lang w:val="et-EE"/>
        </w:rPr>
        <w:t>sisuagregaatoritest</w:t>
      </w:r>
      <w:proofErr w:type="spellEnd"/>
      <w:r w:rsidR="005A74AB" w:rsidRPr="00D12AC0">
        <w:rPr>
          <w:lang w:val="et-EE"/>
        </w:rPr>
        <w:t xml:space="preserve"> </w:t>
      </w:r>
      <w:r w:rsidRPr="00D12AC0">
        <w:rPr>
          <w:lang w:val="et-EE"/>
        </w:rPr>
        <w:t>tulenevad üha suurenev oh</w:t>
      </w:r>
      <w:r w:rsidR="005A74AB" w:rsidRPr="00D12AC0">
        <w:rPr>
          <w:lang w:val="et-EE"/>
        </w:rPr>
        <w:t xml:space="preserve">t uudismeediale, </w:t>
      </w:r>
      <w:r w:rsidRPr="00D12AC0">
        <w:rPr>
          <w:lang w:val="et-EE"/>
        </w:rPr>
        <w:t xml:space="preserve">sisu tootmiskulude </w:t>
      </w:r>
      <w:r w:rsidR="00BA5556" w:rsidRPr="00D12AC0">
        <w:rPr>
          <w:lang w:val="et-EE"/>
        </w:rPr>
        <w:t>kasv</w:t>
      </w:r>
      <w:r w:rsidRPr="00D12AC0">
        <w:rPr>
          <w:lang w:val="et-EE"/>
        </w:rPr>
        <w:t xml:space="preserve">. Ettearvamatud tagasimaksetaotlused õõnestaksid veelgi juba niigi hapraid ärimudeleid, seades ohtu </w:t>
      </w:r>
      <w:r w:rsidR="00B33814" w:rsidRPr="00D12AC0">
        <w:rPr>
          <w:lang w:val="et-EE"/>
        </w:rPr>
        <w:t>finantsstabiilsuse, mis o</w:t>
      </w:r>
      <w:r w:rsidR="0097416B" w:rsidRPr="00D12AC0">
        <w:rPr>
          <w:lang w:val="et-EE"/>
        </w:rPr>
        <w:t xml:space="preserve">n vajalik </w:t>
      </w:r>
      <w:r w:rsidRPr="00D12AC0">
        <w:rPr>
          <w:lang w:val="et-EE"/>
        </w:rPr>
        <w:t>sõltumatu ajakirjanduse ja mitmekesise meediamaastiku toetamiseks.</w:t>
      </w:r>
    </w:p>
    <w:p w14:paraId="539A5685" w14:textId="77777777" w:rsidR="009D6BEA" w:rsidRPr="00D12AC0" w:rsidRDefault="009D6BEA">
      <w:pPr>
        <w:pStyle w:val="BodyText"/>
        <w:spacing w:before="32"/>
        <w:rPr>
          <w:lang w:val="et-EE"/>
        </w:rPr>
      </w:pPr>
    </w:p>
    <w:p w14:paraId="539A5686" w14:textId="16B3742E" w:rsidR="009D6BEA" w:rsidRPr="00D12AC0" w:rsidRDefault="0097416B">
      <w:pPr>
        <w:pStyle w:val="Heading1"/>
        <w:numPr>
          <w:ilvl w:val="0"/>
          <w:numId w:val="1"/>
        </w:numPr>
        <w:tabs>
          <w:tab w:val="left" w:pos="262"/>
        </w:tabs>
        <w:ind w:left="262" w:hanging="239"/>
        <w:rPr>
          <w:lang w:val="et-EE"/>
        </w:rPr>
      </w:pPr>
      <w:r w:rsidRPr="00D12AC0">
        <w:rPr>
          <w:lang w:val="et-EE"/>
        </w:rPr>
        <w:t>Mõju demokraatiale ja ühisko</w:t>
      </w:r>
      <w:r w:rsidR="00C0117B" w:rsidRPr="00D12AC0">
        <w:rPr>
          <w:lang w:val="et-EE"/>
        </w:rPr>
        <w:t xml:space="preserve">nnale </w:t>
      </w:r>
    </w:p>
    <w:p w14:paraId="539A5687" w14:textId="52033F67" w:rsidR="009D6BEA" w:rsidRPr="00D12AC0" w:rsidRDefault="004F34B7">
      <w:pPr>
        <w:pStyle w:val="BodyText"/>
        <w:spacing w:before="276"/>
        <w:ind w:left="23" w:right="8"/>
        <w:jc w:val="both"/>
        <w:rPr>
          <w:lang w:val="et-EE"/>
        </w:rPr>
      </w:pPr>
      <w:r w:rsidRPr="00D12AC0">
        <w:rPr>
          <w:lang w:val="et-EE"/>
        </w:rPr>
        <w:t xml:space="preserve">Tingimusteta tagasimakseõigustest põhjustatud finantsiline ebastabiilsus kujutab endast tõsist ohtu </w:t>
      </w:r>
      <w:r w:rsidR="00BA5556" w:rsidRPr="00D12AC0">
        <w:rPr>
          <w:lang w:val="et-EE"/>
        </w:rPr>
        <w:t>uudis</w:t>
      </w:r>
      <w:r w:rsidRPr="00D12AC0">
        <w:rPr>
          <w:lang w:val="et-EE"/>
        </w:rPr>
        <w:t>meedia mitmekesisusele, mis on demokraatliku ühiskonna alustala. Ainult piisavalt rahastatud trüki- ja digiajakirjandusorganisatsioonid saavad täita oma demokraatlikku ülesannet teavitada</w:t>
      </w:r>
      <w:r w:rsidR="00C46DF3" w:rsidRPr="00D12AC0">
        <w:rPr>
          <w:lang w:val="et-EE"/>
        </w:rPr>
        <w:t xml:space="preserve"> avalikkust</w:t>
      </w:r>
      <w:r w:rsidR="0010560C" w:rsidRPr="00D12AC0">
        <w:rPr>
          <w:lang w:val="et-EE"/>
        </w:rPr>
        <w:t xml:space="preserve">, pakkuda </w:t>
      </w:r>
      <w:r w:rsidRPr="00D12AC0">
        <w:rPr>
          <w:lang w:val="et-EE"/>
        </w:rPr>
        <w:t xml:space="preserve"> avalikku arutelu ja võidelda desinformatsiooni vastu. Lisaks seisaksid Euroopa </w:t>
      </w:r>
      <w:r w:rsidR="0010560C" w:rsidRPr="00D12AC0">
        <w:rPr>
          <w:lang w:val="et-EE"/>
        </w:rPr>
        <w:t>uudis</w:t>
      </w:r>
      <w:r w:rsidRPr="00D12AC0">
        <w:rPr>
          <w:lang w:val="et-EE"/>
        </w:rPr>
        <w:t xml:space="preserve">kirjastajad silmitsi täiendava regulatiivse koormusega, mida ei kehtestata ülemaailmsetele konkurentidele, </w:t>
      </w:r>
      <w:r w:rsidR="0010560C" w:rsidRPr="00D12AC0">
        <w:rPr>
          <w:lang w:val="et-EE"/>
        </w:rPr>
        <w:t>ja see</w:t>
      </w:r>
      <w:r w:rsidRPr="00D12AC0">
        <w:rPr>
          <w:lang w:val="et-EE"/>
        </w:rPr>
        <w:t xml:space="preserve"> kallutaks veelgi tingimusi Euroopa sisuloojate, sealhulgas originaalajakirjandusse investeerivate isikute vastu.</w:t>
      </w:r>
    </w:p>
    <w:p w14:paraId="539A5688" w14:textId="77777777" w:rsidR="009D6BEA" w:rsidRPr="00D12AC0" w:rsidRDefault="004F34B7">
      <w:pPr>
        <w:pStyle w:val="BodyText"/>
        <w:spacing w:before="4"/>
        <w:rPr>
          <w:sz w:val="20"/>
          <w:lang w:val="et-EE"/>
        </w:rPr>
      </w:pPr>
      <w:r w:rsidRPr="00D12AC0">
        <w:rPr>
          <w:sz w:val="20"/>
          <w:lang w:val="et-EE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9A5696" wp14:editId="539A5697">
                <wp:simplePos x="0" y="0"/>
                <wp:positionH relativeFrom="page">
                  <wp:posOffset>914400</wp:posOffset>
                </wp:positionH>
                <wp:positionV relativeFrom="paragraph">
                  <wp:posOffset>176410</wp:posOffset>
                </wp:positionV>
                <wp:extent cx="5737860" cy="161607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7860" cy="16160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9A5698" w14:textId="77777777" w:rsidR="009D6BEA" w:rsidRPr="008C1F4A" w:rsidRDefault="004F34B7">
                            <w:pPr>
                              <w:spacing w:before="80"/>
                              <w:ind w:left="141"/>
                              <w:rPr>
                                <w:b/>
                                <w:sz w:val="24"/>
                                <w:lang w:val="et-EE"/>
                              </w:rPr>
                            </w:pPr>
                            <w:r w:rsidRPr="008C1F4A">
                              <w:rPr>
                                <w:b/>
                                <w:spacing w:val="-2"/>
                                <w:sz w:val="24"/>
                                <w:lang w:val="et-EE"/>
                              </w:rPr>
                              <w:t>Soovitus</w:t>
                            </w:r>
                          </w:p>
                          <w:p w14:paraId="539A5699" w14:textId="5810152A" w:rsidR="009D6BEA" w:rsidRPr="008C1F4A" w:rsidRDefault="004F34B7">
                            <w:pPr>
                              <w:pStyle w:val="BodyText"/>
                              <w:spacing w:before="276"/>
                              <w:ind w:left="141" w:right="123"/>
                              <w:jc w:val="both"/>
                              <w:rPr>
                                <w:lang w:val="et-EE"/>
                              </w:rPr>
                            </w:pPr>
                            <w:r w:rsidRPr="008C1F4A">
                              <w:rPr>
                                <w:lang w:val="et-EE"/>
                              </w:rPr>
                              <w:t>Kutsume Euroopa otsustajaid üles võtma vastu Euroopa Parlamendi seisukoht PSR-i artikli 62 lõike 1 ja artikli 63 kohta ning jätma kaupmehe algatatud tehingud tingimusteta tagasimakseõiguse kohaldamisalast välja. Selline lähenemisviis tunnistaks põhimõttelist erinevust traditsiooniliste otsekorralduste</w:t>
                            </w:r>
                            <w:r w:rsidR="00DA45CF" w:rsidRPr="008C1F4A">
                              <w:rPr>
                                <w:lang w:val="et-EE"/>
                              </w:rPr>
                              <w:t xml:space="preserve"> (</w:t>
                            </w:r>
                            <w:r w:rsidRPr="008C1F4A">
                              <w:rPr>
                                <w:lang w:val="et-EE"/>
                              </w:rPr>
                              <w:t>mis hõlmavad tavaliselt aastalepinguid</w:t>
                            </w:r>
                            <w:r w:rsidR="00DA45CF" w:rsidRPr="008C1F4A">
                              <w:rPr>
                                <w:lang w:val="et-EE"/>
                              </w:rPr>
                              <w:t xml:space="preserve">) </w:t>
                            </w:r>
                            <w:r w:rsidRPr="008C1F4A">
                              <w:rPr>
                                <w:lang w:val="et-EE"/>
                              </w:rPr>
                              <w:t>ja digitaalmeedia MIT-de vahel</w:t>
                            </w:r>
                            <w:r w:rsidR="008C1F4A" w:rsidRPr="008C1F4A">
                              <w:rPr>
                                <w:lang w:val="et-EE"/>
                              </w:rPr>
                              <w:t xml:space="preserve"> (</w:t>
                            </w:r>
                            <w:r w:rsidRPr="008C1F4A">
                              <w:rPr>
                                <w:lang w:val="et-EE"/>
                              </w:rPr>
                              <w:t>mis hõlmavad lühiajalisi ja kohe tarbitavaid teenuseid</w:t>
                            </w:r>
                            <w:r w:rsidR="008C1F4A" w:rsidRPr="008C1F4A">
                              <w:rPr>
                                <w:lang w:val="et-EE"/>
                              </w:rPr>
                              <w:t>)</w:t>
                            </w:r>
                            <w:r w:rsidRPr="008C1F4A">
                              <w:rPr>
                                <w:lang w:val="et-EE"/>
                              </w:rPr>
                              <w:t>. Samuti kutsume läbirääkijaid üles kaaluma laiemat mõju ajakirjanduse ja meedia jätkusuutlikkusele ning demokraatlikule diskursusele Euroopas.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9A569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in;margin-top:13.9pt;width:451.8pt;height:127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" filled="f" strokeweight=".5pt">
                <v:path arrowok="t"/>
                <v:textbox inset="0,0,0,0">
                  <w:txbxContent>
                    <w:p w14:paraId="539A5698" w14:textId="77777777" w:rsidR="009D6BEA" w:rsidRPr="008C1F4A" w:rsidRDefault="004F34B7">
                      <w:pPr>
                        <w:spacing w:before="80"/>
                        <w:ind w:left="141"/>
                        <w:rPr>
                          <w:b/>
                          <w:sz w:val="24"/>
                          <w:lang w:val="et-EE"/>
                        </w:rPr>
                      </w:pPr>
                      <w:r w:rsidRPr="008C1F4A">
                        <w:rPr>
                          <w:b/>
                          <w:spacing w:val="-2"/>
                          <w:sz w:val="24"/>
                          <w:lang w:val="et-EE"/>
                        </w:rPr>
                        <w:t>Soovitus</w:t>
                      </w:r>
                    </w:p>
                    <w:p w14:paraId="539A5699" w14:textId="5810152A" w:rsidR="009D6BEA" w:rsidRPr="008C1F4A" w:rsidRDefault="004F34B7">
                      <w:pPr>
                        <w:pStyle w:val="BodyText"/>
                        <w:spacing w:before="276"/>
                        <w:ind w:left="141" w:right="123"/>
                        <w:jc w:val="both"/>
                        <w:rPr>
                          <w:lang w:val="et-EE"/>
                        </w:rPr>
                      </w:pPr>
                      <w:r w:rsidRPr="008C1F4A">
                        <w:rPr>
                          <w:lang w:val="et-EE"/>
                        </w:rPr>
                        <w:t>Kutsume Euroopa otsustajaid üles võtma vastu Euroopa Parlamendi seisukoht PSR-i artikli 62 lõike 1 ja artikli 63 kohta ning jätma kaupmehe algatatud tehingud tingimusteta tagasimakseõiguse kohaldamisalast välja. Selline lähenemisviis tunnistaks põhimõttelist erinevust traditsiooniliste otsekorralduste</w:t>
                      </w:r>
                      <w:r w:rsidR="00DA45CF" w:rsidRPr="008C1F4A">
                        <w:rPr>
                          <w:lang w:val="et-EE"/>
                        </w:rPr>
                        <w:t xml:space="preserve"> (</w:t>
                      </w:r>
                      <w:r w:rsidRPr="008C1F4A">
                        <w:rPr>
                          <w:lang w:val="et-EE"/>
                        </w:rPr>
                        <w:t>mis hõlmavad tavaliselt aastalepinguid</w:t>
                      </w:r>
                      <w:r w:rsidR="00DA45CF" w:rsidRPr="008C1F4A">
                        <w:rPr>
                          <w:lang w:val="et-EE"/>
                        </w:rPr>
                        <w:t xml:space="preserve">) </w:t>
                      </w:r>
                      <w:r w:rsidRPr="008C1F4A">
                        <w:rPr>
                          <w:lang w:val="et-EE"/>
                        </w:rPr>
                        <w:t>ja digitaalmeedia MIT-de vahel</w:t>
                      </w:r>
                      <w:r w:rsidR="008C1F4A" w:rsidRPr="008C1F4A">
                        <w:rPr>
                          <w:lang w:val="et-EE"/>
                        </w:rPr>
                        <w:t xml:space="preserve"> (</w:t>
                      </w:r>
                      <w:r w:rsidRPr="008C1F4A">
                        <w:rPr>
                          <w:lang w:val="et-EE"/>
                        </w:rPr>
                        <w:t>mis hõlmavad lühiajalisi ja kohe tarbitavaid teenuseid</w:t>
                      </w:r>
                      <w:r w:rsidR="008C1F4A" w:rsidRPr="008C1F4A">
                        <w:rPr>
                          <w:lang w:val="et-EE"/>
                        </w:rPr>
                        <w:t>)</w:t>
                      </w:r>
                      <w:r w:rsidRPr="008C1F4A">
                        <w:rPr>
                          <w:lang w:val="et-EE"/>
                        </w:rPr>
                        <w:t>. Samuti kutsume läbirääkijaid üles kaaluma laiemat mõju ajakirjanduse ja meedia jätkusuutlikkusele ning demokraatlikule diskursusele Euroopas.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9A5689" w14:textId="77777777" w:rsidR="009D6BEA" w:rsidRPr="00D12AC0" w:rsidRDefault="009D6BEA">
      <w:pPr>
        <w:pStyle w:val="BodyText"/>
        <w:spacing w:before="59"/>
        <w:rPr>
          <w:lang w:val="et-EE"/>
        </w:rPr>
      </w:pPr>
    </w:p>
    <w:p w14:paraId="539A568A" w14:textId="71178735" w:rsidR="009D6BEA" w:rsidRPr="00D12AC0" w:rsidRDefault="004F34B7">
      <w:pPr>
        <w:pStyle w:val="BodyText"/>
        <w:spacing w:line="237" w:lineRule="auto"/>
        <w:ind w:left="23" w:right="13"/>
        <w:jc w:val="both"/>
        <w:rPr>
          <w:lang w:val="et-EE"/>
        </w:rPr>
      </w:pPr>
      <w:r w:rsidRPr="00D12AC0">
        <w:rPr>
          <w:lang w:val="et-EE"/>
        </w:rPr>
        <w:t>Tingimusteta tagasimakseõiguste kavandatav laiendamine MIT-</w:t>
      </w:r>
      <w:proofErr w:type="spellStart"/>
      <w:r w:rsidRPr="00D12AC0">
        <w:rPr>
          <w:lang w:val="et-EE"/>
        </w:rPr>
        <w:t>dele</w:t>
      </w:r>
      <w:proofErr w:type="spellEnd"/>
      <w:r w:rsidRPr="00D12AC0">
        <w:rPr>
          <w:lang w:val="et-EE"/>
        </w:rPr>
        <w:t xml:space="preserve"> ei ole vajalik ega proportsionaalne. See õõnestaks Euroopa </w:t>
      </w:r>
      <w:r w:rsidR="00483163" w:rsidRPr="00D12AC0">
        <w:rPr>
          <w:lang w:val="et-EE"/>
        </w:rPr>
        <w:t>uudis</w:t>
      </w:r>
      <w:r w:rsidRPr="00D12AC0">
        <w:rPr>
          <w:lang w:val="et-EE"/>
        </w:rPr>
        <w:t xml:space="preserve">meedia jätkusuutlikkust ajal, mil sõltumatud ja mitmekesised meediahääled on olulisemad kui kunagi varem. Kutsume läbirääkijaid üles seadma esikohale meedia pluralismi ja demokraatliku diskursuse, jättes </w:t>
      </w:r>
      <w:proofErr w:type="spellStart"/>
      <w:r w:rsidRPr="00D12AC0">
        <w:rPr>
          <w:lang w:val="et-EE"/>
        </w:rPr>
        <w:t>MIT-id</w:t>
      </w:r>
      <w:proofErr w:type="spellEnd"/>
      <w:r w:rsidRPr="00D12AC0">
        <w:rPr>
          <w:lang w:val="et-EE"/>
        </w:rPr>
        <w:t xml:space="preserve"> sellest sättest välja.</w:t>
      </w:r>
    </w:p>
    <w:p w14:paraId="539A568B" w14:textId="77777777" w:rsidR="009D6BEA" w:rsidRPr="00D12AC0" w:rsidRDefault="009D6BEA">
      <w:pPr>
        <w:pStyle w:val="BodyText"/>
        <w:spacing w:before="35"/>
        <w:rPr>
          <w:lang w:val="et-EE"/>
        </w:rPr>
      </w:pPr>
    </w:p>
    <w:p w14:paraId="539A568C" w14:textId="77777777" w:rsidR="009D6BEA" w:rsidRPr="00D12AC0" w:rsidRDefault="004F34B7">
      <w:pPr>
        <w:pStyle w:val="Heading1"/>
        <w:ind w:left="23" w:firstLine="0"/>
        <w:jc w:val="both"/>
        <w:rPr>
          <w:lang w:val="et-EE"/>
        </w:rPr>
      </w:pPr>
      <w:r w:rsidRPr="00D12AC0">
        <w:rPr>
          <w:lang w:val="et-EE"/>
        </w:rPr>
        <w:t>Kontaktandmed:</w:t>
      </w:r>
    </w:p>
    <w:p w14:paraId="539A568D" w14:textId="77777777" w:rsidR="009D6BEA" w:rsidRPr="00D12AC0" w:rsidRDefault="004F34B7">
      <w:pPr>
        <w:pStyle w:val="BodyText"/>
        <w:spacing w:before="276"/>
        <w:ind w:left="23"/>
        <w:jc w:val="both"/>
        <w:rPr>
          <w:lang w:val="et-EE"/>
        </w:rPr>
      </w:pPr>
      <w:r w:rsidRPr="00D12AC0">
        <w:rPr>
          <w:lang w:val="et-EE"/>
        </w:rPr>
        <w:t xml:space="preserve">EMMA/ENPA: José </w:t>
      </w:r>
      <w:proofErr w:type="spellStart"/>
      <w:r w:rsidRPr="00D12AC0">
        <w:rPr>
          <w:lang w:val="et-EE"/>
        </w:rPr>
        <w:t>Guimarães</w:t>
      </w:r>
      <w:proofErr w:type="spellEnd"/>
      <w:r w:rsidRPr="00D12AC0">
        <w:rPr>
          <w:lang w:val="et-EE"/>
        </w:rPr>
        <w:t xml:space="preserve"> - </w:t>
      </w:r>
      <w:hyperlink r:id="rId6">
        <w:r w:rsidRPr="00D12AC0">
          <w:rPr>
            <w:color w:val="467885"/>
            <w:spacing w:val="-2"/>
            <w:u w:val="single" w:color="467885"/>
            <w:lang w:val="et-EE"/>
          </w:rPr>
          <w:t>jose.guimaraes@enpa.eu</w:t>
        </w:r>
      </w:hyperlink>
    </w:p>
    <w:p w14:paraId="539A568E" w14:textId="77777777" w:rsidR="009D6BEA" w:rsidRPr="00D12AC0" w:rsidRDefault="009D6BEA">
      <w:pPr>
        <w:pStyle w:val="BodyText"/>
        <w:jc w:val="both"/>
        <w:rPr>
          <w:lang w:val="et-EE"/>
        </w:rPr>
        <w:sectPr w:rsidR="009D6BEA" w:rsidRPr="00D12AC0">
          <w:pgSz w:w="11910" w:h="16840"/>
          <w:pgMar w:top="1340" w:right="1417" w:bottom="280" w:left="1417" w:header="720" w:footer="720" w:gutter="0"/>
          <w:cols w:space="720"/>
        </w:sectPr>
      </w:pPr>
    </w:p>
    <w:p w14:paraId="539A568F" w14:textId="77777777" w:rsidR="009D6BEA" w:rsidRPr="00D12AC0" w:rsidRDefault="004F34B7">
      <w:pPr>
        <w:pStyle w:val="BodyText"/>
        <w:spacing w:before="44"/>
        <w:ind w:left="23"/>
        <w:rPr>
          <w:lang w:val="et-EE"/>
        </w:rPr>
      </w:pPr>
      <w:r w:rsidRPr="00D12AC0">
        <w:rPr>
          <w:lang w:val="et-EE"/>
        </w:rPr>
        <w:lastRenderedPageBreak/>
        <w:t xml:space="preserve">EPC: Angela </w:t>
      </w:r>
      <w:proofErr w:type="spellStart"/>
      <w:r w:rsidRPr="00D12AC0">
        <w:rPr>
          <w:lang w:val="et-EE"/>
        </w:rPr>
        <w:t>Mills</w:t>
      </w:r>
      <w:proofErr w:type="spellEnd"/>
      <w:r w:rsidRPr="00D12AC0">
        <w:rPr>
          <w:lang w:val="et-EE"/>
        </w:rPr>
        <w:t xml:space="preserve"> </w:t>
      </w:r>
      <w:proofErr w:type="spellStart"/>
      <w:r w:rsidRPr="00D12AC0">
        <w:rPr>
          <w:lang w:val="et-EE"/>
        </w:rPr>
        <w:t>Wade</w:t>
      </w:r>
      <w:proofErr w:type="spellEnd"/>
      <w:r w:rsidRPr="00D12AC0">
        <w:rPr>
          <w:lang w:val="et-EE"/>
        </w:rPr>
        <w:t xml:space="preserve"> – </w:t>
      </w:r>
      <w:hyperlink r:id="rId7">
        <w:r w:rsidRPr="00D12AC0">
          <w:rPr>
            <w:color w:val="467885"/>
            <w:u w:val="single" w:color="467885"/>
            <w:lang w:val="et-EE"/>
          </w:rPr>
          <w:t>angela.mills-wade@epceurope.eu</w:t>
        </w:r>
      </w:hyperlink>
    </w:p>
    <w:p w14:paraId="539A5690" w14:textId="77777777" w:rsidR="009D6BEA" w:rsidRPr="00D12AC0" w:rsidRDefault="009D6BEA">
      <w:pPr>
        <w:pStyle w:val="BodyText"/>
        <w:spacing w:before="27"/>
        <w:rPr>
          <w:lang w:val="et-EE"/>
        </w:rPr>
      </w:pPr>
    </w:p>
    <w:p w14:paraId="539A5691" w14:textId="7937E95F" w:rsidR="009D6BEA" w:rsidRPr="00D12AC0" w:rsidRDefault="003A2728">
      <w:pPr>
        <w:pStyle w:val="BodyText"/>
        <w:ind w:left="23"/>
        <w:rPr>
          <w:lang w:val="et-EE"/>
        </w:rPr>
      </w:pPr>
      <w:r w:rsidRPr="00D12AC0">
        <w:rPr>
          <w:lang w:val="et-EE"/>
        </w:rPr>
        <w:t>News</w:t>
      </w:r>
      <w:r w:rsidR="004F34B7" w:rsidRPr="00D12AC0">
        <w:rPr>
          <w:lang w:val="et-EE"/>
        </w:rPr>
        <w:t xml:space="preserve"> Media Europe: </w:t>
      </w:r>
      <w:proofErr w:type="spellStart"/>
      <w:r w:rsidR="004F34B7" w:rsidRPr="00D12AC0">
        <w:rPr>
          <w:lang w:val="et-EE"/>
        </w:rPr>
        <w:t>Wout</w:t>
      </w:r>
      <w:proofErr w:type="spellEnd"/>
      <w:r w:rsidR="004F34B7" w:rsidRPr="00D12AC0">
        <w:rPr>
          <w:lang w:val="et-EE"/>
        </w:rPr>
        <w:t xml:space="preserve"> van </w:t>
      </w:r>
      <w:proofErr w:type="spellStart"/>
      <w:r w:rsidR="004F34B7" w:rsidRPr="00D12AC0">
        <w:rPr>
          <w:lang w:val="et-EE"/>
        </w:rPr>
        <w:t>Wijk</w:t>
      </w:r>
      <w:proofErr w:type="spellEnd"/>
      <w:r w:rsidR="004F34B7" w:rsidRPr="00D12AC0">
        <w:rPr>
          <w:lang w:val="et-EE"/>
        </w:rPr>
        <w:t xml:space="preserve"> - </w:t>
      </w:r>
      <w:hyperlink r:id="rId8">
        <w:r w:rsidR="004F34B7" w:rsidRPr="00D12AC0">
          <w:rPr>
            <w:color w:val="467885"/>
            <w:spacing w:val="-2"/>
            <w:u w:val="single" w:color="467885"/>
            <w:lang w:val="et-EE"/>
          </w:rPr>
          <w:t>wout.vanwijk@newsmediaeurope.eu</w:t>
        </w:r>
      </w:hyperlink>
    </w:p>
    <w:p w14:paraId="539A5692" w14:textId="77777777" w:rsidR="009D6BEA" w:rsidRPr="00D12AC0" w:rsidRDefault="009D6BEA">
      <w:pPr>
        <w:pStyle w:val="BodyText"/>
        <w:spacing w:before="19"/>
        <w:rPr>
          <w:lang w:val="et-EE"/>
        </w:rPr>
      </w:pPr>
    </w:p>
    <w:p w14:paraId="539A5693" w14:textId="2A9FE240" w:rsidR="009D6BEA" w:rsidRPr="00D12AC0" w:rsidRDefault="004F34B7">
      <w:pPr>
        <w:ind w:left="23" w:right="14"/>
        <w:jc w:val="both"/>
        <w:rPr>
          <w:i/>
          <w:sz w:val="21"/>
          <w:lang w:val="et-EE"/>
        </w:rPr>
      </w:pPr>
      <w:r w:rsidRPr="00D12AC0">
        <w:rPr>
          <w:i/>
          <w:sz w:val="21"/>
          <w:lang w:val="et-EE"/>
        </w:rPr>
        <w:t>Käesolev seisukoht kajastab News Media Europe'i, Euroopa Kirjastajate Nõukogu, Euroopa Ajakirjade Meedia Assotsiatsiooni ja Euroopa Ajalehtede Kirjastajate Assotsiatsiooni ühtset seisukohta makseteenuste määruse kolmepoolsetel läbirääkimistel.</w:t>
      </w:r>
    </w:p>
    <w:sectPr w:rsidR="009D6BEA" w:rsidRPr="00D12AC0">
      <w:pgSz w:w="11910" w:h="16840"/>
      <w:pgMar w:top="138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F06396"/>
    <w:multiLevelType w:val="hybridMultilevel"/>
    <w:tmpl w:val="84808DD4"/>
    <w:lvl w:ilvl="0" w:tplc="7D72E502">
      <w:start w:val="1"/>
      <w:numFmt w:val="decimal"/>
      <w:lvlText w:val="%1."/>
      <w:lvlJc w:val="left"/>
      <w:pPr>
        <w:ind w:left="263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19DA2B38">
      <w:numFmt w:val="bullet"/>
      <w:lvlText w:val=""/>
      <w:lvlJc w:val="left"/>
      <w:pPr>
        <w:ind w:left="7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 w:tplc="581CC284">
      <w:numFmt w:val="bullet"/>
      <w:lvlText w:val="•"/>
      <w:lvlJc w:val="left"/>
      <w:pPr>
        <w:ind w:left="1665" w:hanging="360"/>
      </w:pPr>
      <w:rPr>
        <w:rFonts w:hint="default"/>
        <w:lang w:val="en-US" w:eastAsia="en-US" w:bidi="ar-SA"/>
      </w:rPr>
    </w:lvl>
    <w:lvl w:ilvl="3" w:tplc="FE022588">
      <w:numFmt w:val="bullet"/>
      <w:lvlText w:val="•"/>
      <w:lvlJc w:val="left"/>
      <w:pPr>
        <w:ind w:left="2591" w:hanging="360"/>
      </w:pPr>
      <w:rPr>
        <w:rFonts w:hint="default"/>
        <w:lang w:val="en-US" w:eastAsia="en-US" w:bidi="ar-SA"/>
      </w:rPr>
    </w:lvl>
    <w:lvl w:ilvl="4" w:tplc="1AAC8524">
      <w:numFmt w:val="bullet"/>
      <w:lvlText w:val="•"/>
      <w:lvlJc w:val="left"/>
      <w:pPr>
        <w:ind w:left="3517" w:hanging="360"/>
      </w:pPr>
      <w:rPr>
        <w:rFonts w:hint="default"/>
        <w:lang w:val="en-US" w:eastAsia="en-US" w:bidi="ar-SA"/>
      </w:rPr>
    </w:lvl>
    <w:lvl w:ilvl="5" w:tplc="58D44724">
      <w:numFmt w:val="bullet"/>
      <w:lvlText w:val="•"/>
      <w:lvlJc w:val="left"/>
      <w:pPr>
        <w:ind w:left="4443" w:hanging="360"/>
      </w:pPr>
      <w:rPr>
        <w:rFonts w:hint="default"/>
        <w:lang w:val="en-US" w:eastAsia="en-US" w:bidi="ar-SA"/>
      </w:rPr>
    </w:lvl>
    <w:lvl w:ilvl="6" w:tplc="7DA4630A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  <w:lvl w:ilvl="7" w:tplc="01F8C96C">
      <w:numFmt w:val="bullet"/>
      <w:lvlText w:val="•"/>
      <w:lvlJc w:val="left"/>
      <w:pPr>
        <w:ind w:left="6294" w:hanging="360"/>
      </w:pPr>
      <w:rPr>
        <w:rFonts w:hint="default"/>
        <w:lang w:val="en-US" w:eastAsia="en-US" w:bidi="ar-SA"/>
      </w:rPr>
    </w:lvl>
    <w:lvl w:ilvl="8" w:tplc="C89A601A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</w:abstractNum>
  <w:num w:numId="1" w16cid:durableId="202948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EA"/>
    <w:rsid w:val="00012577"/>
    <w:rsid w:val="000C0770"/>
    <w:rsid w:val="0010560C"/>
    <w:rsid w:val="00126E44"/>
    <w:rsid w:val="00141895"/>
    <w:rsid w:val="00156F22"/>
    <w:rsid w:val="00235FAF"/>
    <w:rsid w:val="0028471B"/>
    <w:rsid w:val="002D6E09"/>
    <w:rsid w:val="0030710E"/>
    <w:rsid w:val="00365AF2"/>
    <w:rsid w:val="003868C1"/>
    <w:rsid w:val="003A2728"/>
    <w:rsid w:val="003A6E76"/>
    <w:rsid w:val="00483163"/>
    <w:rsid w:val="004C70B1"/>
    <w:rsid w:val="004F0373"/>
    <w:rsid w:val="004F34B7"/>
    <w:rsid w:val="00597CCB"/>
    <w:rsid w:val="005A0F2A"/>
    <w:rsid w:val="005A74AB"/>
    <w:rsid w:val="00675768"/>
    <w:rsid w:val="00757014"/>
    <w:rsid w:val="007A05B3"/>
    <w:rsid w:val="007A1250"/>
    <w:rsid w:val="00881B72"/>
    <w:rsid w:val="00892BDF"/>
    <w:rsid w:val="008C1F4A"/>
    <w:rsid w:val="0094682C"/>
    <w:rsid w:val="0097416B"/>
    <w:rsid w:val="00991C44"/>
    <w:rsid w:val="00995520"/>
    <w:rsid w:val="009D6BEA"/>
    <w:rsid w:val="009E5705"/>
    <w:rsid w:val="00A32C93"/>
    <w:rsid w:val="00A736DE"/>
    <w:rsid w:val="00A76E1E"/>
    <w:rsid w:val="00AD0A35"/>
    <w:rsid w:val="00B1580D"/>
    <w:rsid w:val="00B33814"/>
    <w:rsid w:val="00BA5556"/>
    <w:rsid w:val="00BE1034"/>
    <w:rsid w:val="00BF28DA"/>
    <w:rsid w:val="00C0117B"/>
    <w:rsid w:val="00C46DF3"/>
    <w:rsid w:val="00CD1A58"/>
    <w:rsid w:val="00D11081"/>
    <w:rsid w:val="00D12AC0"/>
    <w:rsid w:val="00DA45CF"/>
    <w:rsid w:val="00DD7248"/>
    <w:rsid w:val="00DF5FCA"/>
    <w:rsid w:val="00E124CC"/>
    <w:rsid w:val="00E758BF"/>
    <w:rsid w:val="00E94AF8"/>
    <w:rsid w:val="00EB402C"/>
    <w:rsid w:val="00EB6902"/>
    <w:rsid w:val="00F2478A"/>
    <w:rsid w:val="00F304DC"/>
    <w:rsid w:val="00F83AA5"/>
    <w:rsid w:val="00FA719F"/>
    <w:rsid w:val="00FC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9A5666"/>
  <w15:docId w15:val="{69505881-A6CB-6049-9DBE-A78117D0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62" w:hanging="23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"/>
      <w:ind w:left="23" w:right="14"/>
      <w:jc w:val="both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62" w:hanging="239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3868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ut.vanwijk@newsmediaeurope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gela.mills-wade@epceurop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e.guimaraes@enpa.e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925</Words>
  <Characters>5275</Characters>
  <Application>Microsoft Office Word</Application>
  <DocSecurity>0</DocSecurity>
  <Lines>43</Lines>
  <Paragraphs>12</Paragraphs>
  <ScaleCrop>false</ScaleCrop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Mills Wade</dc:creator>
  <cp:lastModifiedBy>Väino Koorberg</cp:lastModifiedBy>
  <cp:revision>57</cp:revision>
  <cp:lastPrinted>2025-09-04T13:32:00Z</cp:lastPrinted>
  <dcterms:created xsi:type="dcterms:W3CDTF">2025-09-06T16:07:00Z</dcterms:created>
  <dcterms:modified xsi:type="dcterms:W3CDTF">2025-09-07T07:57:00Z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2025-09-04T00:00:00Z</vt:filetime>
  </property>
  <property fmtid="{D5CDD505-2E9C-101B-9397-08002B2CF9AE}" pid="5" name="Producer">
    <vt:lpwstr>3-Heights(TM) PDF Security Shell 4.8.25.2 (http://www.pdf-tools.com)</vt:lpwstr>
  </property>
</Properties>
</file>